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40" w:lineRule="exact"/>
        <w:jc w:val="center"/>
        <w:rPr>
          <w:rFonts w:hint="eastAsia"/>
          <w:b/>
          <w:sz w:val="52"/>
          <w:szCs w:val="52"/>
        </w:rPr>
      </w:pPr>
    </w:p>
    <w:p>
      <w:pPr>
        <w:spacing w:line="640" w:lineRule="exact"/>
        <w:jc w:val="center"/>
        <w:rPr>
          <w:rFonts w:hint="eastAsia"/>
          <w:b/>
          <w:sz w:val="10"/>
          <w:szCs w:val="10"/>
        </w:rPr>
      </w:pPr>
      <w:r>
        <w:rPr>
          <w:b/>
          <w:sz w:val="10"/>
          <w:szCs w:val="10"/>
        </w:rPr>
        <w:t xml:space="preserve">                     </w:t>
      </w:r>
    </w:p>
    <w:p>
      <w:pPr>
        <w:spacing w:line="640" w:lineRule="exact"/>
        <w:jc w:val="center"/>
        <w:rPr>
          <w:b/>
          <w:sz w:val="10"/>
          <w:szCs w:val="10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44"/>
          <w:szCs w:val="44"/>
        </w:rPr>
        <w:t xml:space="preserve">                        </w:t>
      </w:r>
      <w:r>
        <w:rPr>
          <w:rFonts w:hint="eastAsia"/>
          <w:b/>
          <w:sz w:val="44"/>
          <w:szCs w:val="44"/>
        </w:rPr>
        <w:t xml:space="preserve">     </w:t>
      </w:r>
    </w:p>
    <w:p>
      <w:pPr>
        <w:tabs>
          <w:tab w:val="left" w:pos="7590"/>
        </w:tabs>
        <w:spacing w:line="940" w:lineRule="exact"/>
        <w:jc w:val="left"/>
        <w:rPr>
          <w:rFonts w:hint="eastAsia"/>
          <w:b/>
          <w:sz w:val="44"/>
          <w:szCs w:val="44"/>
        </w:rPr>
      </w:pPr>
      <w:r>
        <w:rPr>
          <w:b/>
          <w:sz w:val="52"/>
          <w:szCs w:val="52"/>
        </w:rPr>
        <w:tab/>
      </w:r>
    </w:p>
    <w:p>
      <w:pPr>
        <w:jc w:val="center"/>
        <w:rPr>
          <w:rFonts w:hint="eastAsia" w:ascii="仿宋_GB2312"/>
          <w:sz w:val="10"/>
          <w:szCs w:val="10"/>
        </w:rPr>
      </w:pPr>
    </w:p>
    <w:p>
      <w:pPr>
        <w:tabs>
          <w:tab w:val="left" w:pos="1755"/>
        </w:tabs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曲自然资规字〔202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tabs>
          <w:tab w:val="left" w:pos="17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曲阳县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印发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《202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年度“双随机、一公开”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监管工作培训方案》的通知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各股室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为贯彻落实中央和省、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政府关于在市场监管领域全面推行“双随机、一公开”的监管要求，不断深入推进我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制定了《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曲阳县自然资源和规划局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年度“双随机、一公开”监管工作培训方案》。现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印</w:t>
      </w:r>
      <w:r>
        <w:rPr>
          <w:rFonts w:hint="eastAsia" w:ascii="仿宋" w:hAnsi="仿宋" w:eastAsia="仿宋" w:cs="仿宋"/>
          <w:sz w:val="32"/>
          <w:szCs w:val="32"/>
        </w:rPr>
        <w:t>发给你们，请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认真抓好贯彻落实</w:t>
      </w:r>
      <w:r>
        <w:rPr>
          <w:rFonts w:hint="eastAsia" w:ascii="仿宋" w:hAnsi="仿宋" w:eastAsia="仿宋" w:cs="仿宋"/>
          <w:sz w:val="32"/>
          <w:szCs w:val="32"/>
        </w:rPr>
        <w:t>。请各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股室</w:t>
      </w:r>
      <w:r>
        <w:rPr>
          <w:rFonts w:hint="eastAsia" w:ascii="仿宋" w:hAnsi="仿宋" w:eastAsia="仿宋" w:cs="仿宋"/>
          <w:sz w:val="32"/>
          <w:szCs w:val="32"/>
        </w:rPr>
        <w:t>根据此方案制定本级本部门培训方案，提前安排部署，确保培训质量扎实、有效。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曲阳县自然资源和规划局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2023年2月16日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曲阳县自然资源和规划局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年度“双随机、一公开”监管工作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培训方案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为贯彻落实市场监管领域全面推行“双随机、一公开”的监管要求，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优化营商环境，</w:t>
      </w:r>
      <w:r>
        <w:rPr>
          <w:rFonts w:hint="eastAsia" w:ascii="仿宋" w:hAnsi="仿宋" w:eastAsia="仿宋" w:cs="仿宋"/>
          <w:sz w:val="32"/>
          <w:szCs w:val="32"/>
        </w:rPr>
        <w:t>不断深入推进我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“双随机、一公开”监管工作，提升全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“双随机、一公开”监管工作人员业务能力和监管水平，制定此方案：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“双随机、一公开”</w:t>
      </w:r>
      <w:r>
        <w:rPr>
          <w:rFonts w:hint="eastAsia" w:ascii="仿宋" w:hAnsi="仿宋" w:eastAsia="仿宋" w:cs="仿宋"/>
          <w:sz w:val="32"/>
          <w:szCs w:val="32"/>
          <w:vertAlign w:val="baseline"/>
        </w:rPr>
        <w:t>涉及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  <w:vertAlign w:val="baseline"/>
        </w:rPr>
        <w:t>股室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成员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计划组织开展培训两次：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第一次：3-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月份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第二次：7-9 月份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依据实际工作需要具体培训时间另行通知。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三、培训目标和内容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训目标：使受训人员深入学习各级关于“双随机、一公开”监管工作部署要求，认真贯彻落实全省市场监管工作会议精神,加强“双随机、一公开”监管理论学习，提高河北省双随机监管工作平台操作能力，提高“双随机、一公开”监管与企业信用风险分级分类相结合的能力，提升业务能力和执法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训内容：《“双随机、一公开”监管抽查工作规范》、“双随机、一公开”监管工作政策解读；信用监管工作解读；“双随机、一公开”监管与企业信用风险分级分类相结合解读；河北省双随机监管工作平台使用培训讲座及疑难问题解答；各级各部门工作学习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四、培训要求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高度重视，确保效果。各部门要积极参与配合，严格按照计划要求选派参训人员；参训人员要全身心投入培训，认真学习研究“双随机、一公开”监管工作政策、背景，熟练掌握河北省双随机监管工作平台的操作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培训的原则和形式。按照谁管人、谁培训的分级管理、分级培训原则组织培训。各部门要紧密配合培训中心抓好新员工和在职员工轮训的培训工作。在培训形式上，要结合单位实际,因地制宜、因材施教，外培与内训相结合，室内培训和现场培训相结合，选取最佳的方法和形式，组织开展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0" w:hanging="960" w:hanging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曲阳县自然资源和规划局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leftChars="0" w:hanging="960" w:hangingChars="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587" w:bottom="1440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202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年度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曲阳县自然资源和规划局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“双随机、一公开”监管工作培训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计划</w:t>
      </w:r>
    </w:p>
    <w:tbl>
      <w:tblPr>
        <w:tblStyle w:val="3"/>
        <w:tblW w:w="14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6436"/>
        <w:gridCol w:w="2550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6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2023年3—6月</w:t>
            </w:r>
          </w:p>
        </w:tc>
        <w:tc>
          <w:tcPr>
            <w:tcW w:w="6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《“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双随机、一公开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监管抽查工作规范》“双随机、一公开”监管工作政策解读；信用监管工作解读；“双随机、一公开”监管与企业信用风险分级分类相结合解读；河北省双随机监管工作平台使用培训及疑难问题解答。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“双随机、一公开”涉及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股室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成员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2023年7—9月</w:t>
            </w:r>
          </w:p>
        </w:tc>
        <w:tc>
          <w:tcPr>
            <w:tcW w:w="6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“双随机、一公开”监管工作政策解读；信用监管工作解读；“双随机、一公开”监管与企业信用风险分级分类相结合解读；各部门工作学习交流。</w:t>
            </w:r>
          </w:p>
        </w:tc>
        <w:tc>
          <w:tcPr>
            <w:tcW w:w="2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现场培训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2NkYzVjNTRlYTEwNjFiNzJkOWNjOTdlYjIxNDIifQ=="/>
  </w:docVars>
  <w:rsids>
    <w:rsidRoot w:val="00000000"/>
    <w:rsid w:val="09A7015C"/>
    <w:rsid w:val="0CEB5CC6"/>
    <w:rsid w:val="1BFB0738"/>
    <w:rsid w:val="26417B34"/>
    <w:rsid w:val="4E4D2ADE"/>
    <w:rsid w:val="5A7B52F9"/>
    <w:rsid w:val="5B284FDE"/>
    <w:rsid w:val="664E556C"/>
    <w:rsid w:val="6B141EF0"/>
    <w:rsid w:val="74E63A9C"/>
    <w:rsid w:val="78D9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楷体" w:eastAsia="宋体" w:cs="楷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1225</Words>
  <Characters>1256</Characters>
  <Lines>0</Lines>
  <Paragraphs>0</Paragraphs>
  <TotalTime>1</TotalTime>
  <ScaleCrop>false</ScaleCrop>
  <LinksUpToDate>false</LinksUpToDate>
  <CharactersWithSpaces>1311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2022-03-09T00:56:00Z</dcterms:created>
  <dc:creator>Administrator.SKY-20190425MVF</dc:creator>
  <cp:lastModifiedBy>Administrator</cp:lastModifiedBy>
  <cp:lastPrinted>2023-04-03T03:28:00Z</cp:lastPrinted>
  <dcterms:modified xsi:type="dcterms:W3CDTF">2023-05-09T08:21:01Z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5A235B8A91D849BAB37C56371FBDDB51</vt:lpwstr>
  </property>
</Properties>
</file>